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3" w:rsidRDefault="00B029E3" w:rsidP="00B12D6E">
      <w:pPr>
        <w:rPr>
          <w:rFonts w:ascii="Times New Roman" w:hAnsi="Times New Roman"/>
          <w:sz w:val="24"/>
          <w:szCs w:val="24"/>
        </w:rPr>
      </w:pPr>
    </w:p>
    <w:p w:rsidR="00B029E3" w:rsidRPr="00407B42" w:rsidRDefault="00B029E3" w:rsidP="00407B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B42"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экзамену.</w:t>
      </w:r>
    </w:p>
    <w:p w:rsidR="00B029E3" w:rsidRDefault="00B029E3" w:rsidP="00407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Бронхиальная астма. Этиология, патогенез.</w:t>
      </w:r>
      <w:r>
        <w:rPr>
          <w:rFonts w:ascii="Times New Roman" w:hAnsi="Times New Roman" w:cs="Times New Roman"/>
          <w:sz w:val="24"/>
          <w:szCs w:val="24"/>
        </w:rPr>
        <w:t>Клиника приступного периода.</w:t>
      </w:r>
      <w:r w:rsidRPr="00B12D6E">
        <w:rPr>
          <w:rFonts w:ascii="Times New Roman" w:hAnsi="Times New Roman" w:cs="Times New Roman"/>
          <w:sz w:val="24"/>
          <w:szCs w:val="24"/>
        </w:rPr>
        <w:t xml:space="preserve"> Критерии оценки степени тяжести приступа бронхиальной астмы у детей. Лечебные мероприятия в межприступном периоде.</w:t>
      </w:r>
      <w:r>
        <w:rPr>
          <w:rFonts w:ascii="Times New Roman" w:hAnsi="Times New Roman" w:cs="Times New Roman"/>
          <w:sz w:val="24"/>
          <w:szCs w:val="24"/>
        </w:rPr>
        <w:t xml:space="preserve"> Критерии оценки степени тяжести астмы.</w:t>
      </w:r>
      <w:r w:rsidRPr="00B12D6E">
        <w:rPr>
          <w:rFonts w:ascii="Times New Roman" w:hAnsi="Times New Roman" w:cs="Times New Roman"/>
          <w:sz w:val="24"/>
          <w:szCs w:val="24"/>
        </w:rPr>
        <w:t xml:space="preserve"> Диспансерное наблюдение.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Врожденные пороки сердца.  Распространенность. Классификация, этиология, диагностика. Подходы к лечению. Диспансерное наблюдение. Осложнения, исходы.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Дефект межпредсердной перегородки. Гемодинамика, клиника, инструментальная диагностика,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Дефект межжелудочковой перегородки. Гемодинамика, клиника, инструментальная диагностика,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Открытый артериальный проток. Гемодинамика, клиника, инструментальная диагностика, лечение.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Коарктация аорты. Гемодинамика, клиника, диагностика, лечение.</w:t>
      </w:r>
    </w:p>
    <w:p w:rsidR="00B029E3" w:rsidRPr="00407B42" w:rsidRDefault="00B029E3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407B42">
        <w:rPr>
          <w:rFonts w:ascii="Times New Roman" w:hAnsi="Times New Roman"/>
          <w:i w:val="0"/>
        </w:rPr>
        <w:t>Врожденные пороки сердца синего типа: Тетрада Фалло. Гемодинамика, клиника, диагностика, лечение. Неотложная помощь при одышечно-цианотических приступах.</w:t>
      </w:r>
      <w:r w:rsidRPr="00407B42">
        <w:rPr>
          <w:rFonts w:ascii="Times New Roman" w:hAnsi="Times New Roman"/>
        </w:rPr>
        <w:t xml:space="preserve"> </w:t>
      </w:r>
      <w:r w:rsidRPr="00407B42">
        <w:rPr>
          <w:rFonts w:ascii="Times New Roman" w:hAnsi="Times New Roman"/>
          <w:i w:val="0"/>
        </w:rPr>
        <w:t>Транспозиция магистральных сосудов. Гемодинамика, клиника, диагностика, лечение.</w:t>
      </w:r>
    </w:p>
    <w:p w:rsidR="00B029E3" w:rsidRPr="00407B42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7B42">
        <w:rPr>
          <w:rFonts w:ascii="Times New Roman" w:hAnsi="Times New Roman" w:cs="Times New Roman"/>
          <w:sz w:val="24"/>
          <w:szCs w:val="24"/>
        </w:rPr>
        <w:t>Острая ревматическая лихорадка у детей. Распространенность. Современное представление об этиологии, патогенез. Диагностические критерии Джонса. Классификация. Клиника. Течение и исходы. Клиническая картина и диагностика ревмокардита. Экстракардиальные проявления, клиническая картина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Ревматический полиартрит. Клиника, диагностика. Этапное лечение. Диспансерное наблюдение, методы и схемы профилактики.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Ревматическая хорея. Клиника, диагностика,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Аскаридоз.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Энтеробиоз.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Эхинококкоз. Особенности цикла развития гельминта. Пути заражения. Особенности цикла развития гельминта. Пути заражения. Клиника, методы лабораторной диагностики. Осложнения. Лечение. Профилактика.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Гастриты и гастродуодениты. Этиология, роль </w:t>
      </w:r>
      <w:r w:rsidRPr="00B12D6E">
        <w:rPr>
          <w:rFonts w:ascii="Times New Roman" w:hAnsi="Times New Roman" w:cs="Times New Roman"/>
          <w:sz w:val="24"/>
          <w:szCs w:val="24"/>
          <w:lang w:val="en-US"/>
        </w:rPr>
        <w:t>Helicobacter</w:t>
      </w:r>
      <w:r w:rsidRPr="00B12D6E">
        <w:rPr>
          <w:rFonts w:ascii="Times New Roman" w:hAnsi="Times New Roman" w:cs="Times New Roman"/>
          <w:sz w:val="24"/>
          <w:szCs w:val="24"/>
        </w:rPr>
        <w:t xml:space="preserve"> </w:t>
      </w:r>
      <w:r w:rsidRPr="00B12D6E">
        <w:rPr>
          <w:rFonts w:ascii="Times New Roman" w:hAnsi="Times New Roman" w:cs="Times New Roman"/>
          <w:sz w:val="24"/>
          <w:szCs w:val="24"/>
          <w:lang w:val="en-US"/>
        </w:rPr>
        <w:t>pylori</w:t>
      </w:r>
      <w:r w:rsidRPr="00B12D6E">
        <w:rPr>
          <w:rFonts w:ascii="Times New Roman" w:hAnsi="Times New Roman" w:cs="Times New Roman"/>
          <w:sz w:val="24"/>
          <w:szCs w:val="24"/>
        </w:rPr>
        <w:t>, патогенез, классификация, клиника. Лечение, профилактика.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Язвенная болезнь желудка и 12-перстной кишки. Предрасполагающие факторы, особенности этиологии и патогенеза. Классификация. Клиника, диагностика Осложнения, течение, исходы.  Неотложная помощь при кровотечении. Профилактика. Диспансерное наблюдение. Диетотерапия. Медикаментозное лечение. Санаторно-курортное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ДЖВП у детей, распространенность. Этиология, патогенез, классификация. Клиника. Лечение, профилактика, диспансерное наблюдение.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Хронический холецистит. Этиология, патогенез, клиника. Клиника, диагностика,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Желчнокаменная болезнь.  Этиология, патогенез, клиника, диагностика. Лечение, профилактика, течение, исходы.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Рахит. Классификация, клинические проявления, особенности у недоношенных детей, диагностика.</w:t>
      </w:r>
      <w:r w:rsidRPr="00B12D6E">
        <w:rPr>
          <w:rFonts w:ascii="Times New Roman" w:hAnsi="Times New Roman"/>
        </w:rPr>
        <w:t xml:space="preserve"> </w:t>
      </w:r>
      <w:r w:rsidRPr="00B12D6E">
        <w:rPr>
          <w:rFonts w:ascii="Times New Roman" w:hAnsi="Times New Roman"/>
          <w:i w:val="0"/>
        </w:rPr>
        <w:t>Лечение. Антенатальная и постнатальная профилактика.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Спазмофилия. Причины, патогенез, клинические формы. Лечение, профилактика.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Гипервитаминоз Д. Причины, клинические проявления, осложнения, лечение, профилактика.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Понятия о гипотрофии</w:t>
      </w:r>
      <w:r>
        <w:rPr>
          <w:rFonts w:ascii="Times New Roman" w:hAnsi="Times New Roman" w:cs="Times New Roman"/>
          <w:sz w:val="24"/>
          <w:szCs w:val="24"/>
        </w:rPr>
        <w:t xml:space="preserve"> (белково-энергетической недостаточности)</w:t>
      </w:r>
      <w:r w:rsidRPr="00B12D6E">
        <w:rPr>
          <w:rFonts w:ascii="Times New Roman" w:hAnsi="Times New Roman" w:cs="Times New Roman"/>
          <w:sz w:val="24"/>
          <w:szCs w:val="24"/>
        </w:rPr>
        <w:t xml:space="preserve">, гипостатуре. Причины, патогенез. Классификация. 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Хронические расстройства питания у детей. Определение. Характеристика степеней гипотрофии. Клиническая картина. Прогноз.</w:t>
      </w:r>
      <w:r w:rsidRPr="00B12D6E">
        <w:rPr>
          <w:rFonts w:ascii="Times New Roman" w:hAnsi="Times New Roman"/>
        </w:rPr>
        <w:t xml:space="preserve"> </w:t>
      </w:r>
      <w:r w:rsidRPr="00B12D6E">
        <w:rPr>
          <w:rFonts w:ascii="Times New Roman" w:hAnsi="Times New Roman"/>
          <w:i w:val="0"/>
        </w:rPr>
        <w:t>Особенности диетотерапии и медикаментозного лечения в зависимости от степени гипотрофии. Диспансерное наблюдение, профилактика.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Гипотрофия </w:t>
      </w:r>
      <w:r w:rsidRPr="00B12D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2D6E">
        <w:rPr>
          <w:rFonts w:ascii="Times New Roman" w:hAnsi="Times New Roman" w:cs="Times New Roman"/>
          <w:sz w:val="24"/>
          <w:szCs w:val="24"/>
        </w:rPr>
        <w:t xml:space="preserve"> степени. Клиника, диагностика, лечение.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Белково-энергетическая недостаточность умеренной</w:t>
      </w:r>
      <w:r w:rsidRPr="00B12D6E">
        <w:rPr>
          <w:rFonts w:ascii="Times New Roman" w:hAnsi="Times New Roman" w:cs="Times New Roman"/>
          <w:sz w:val="24"/>
          <w:szCs w:val="24"/>
        </w:rPr>
        <w:t xml:space="preserve"> степени. Клиника, диагностика, лечение.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480B80">
        <w:rPr>
          <w:rFonts w:ascii="Times New Roman" w:hAnsi="Times New Roman"/>
          <w:i w:val="0"/>
        </w:rPr>
        <w:t xml:space="preserve">Белково-энергетическая недостаточность </w:t>
      </w:r>
      <w:r>
        <w:rPr>
          <w:rFonts w:ascii="Times New Roman" w:hAnsi="Times New Roman"/>
          <w:i w:val="0"/>
        </w:rPr>
        <w:t>тяжёлой</w:t>
      </w:r>
      <w:r w:rsidRPr="00B12D6E">
        <w:rPr>
          <w:rFonts w:ascii="Times New Roman" w:hAnsi="Times New Roman"/>
          <w:i w:val="0"/>
        </w:rPr>
        <w:t xml:space="preserve"> степени. Клиника, диагностика, лечение.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Аллергический диатез. Определение. Клинические проявления. Изменения лабораторных показателей. Особенности диспансерного наблюдения (лечебно-оздоровительные мероприятия).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Нервно-артритический диатез. Определение. Клинические и метаболические проявления. Особенности диспансерного наблюдения (лечебно-оздоровительные мероприятия).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Лимфатико-гипопластический диатез. Определение. Клинические проявления. Изменения лабораторных показателей. Особенности диспансерного наблюдения (лечебно-оздоровительные  мероприятия). 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Железодефицитная анемия. Этиология, патогенез. Клиника, степени т</w:t>
      </w:r>
      <w:r>
        <w:rPr>
          <w:rFonts w:ascii="Times New Roman" w:hAnsi="Times New Roman" w:cs="Times New Roman"/>
          <w:sz w:val="24"/>
          <w:szCs w:val="24"/>
        </w:rPr>
        <w:t>яжести анемии,</w:t>
      </w:r>
      <w:r w:rsidRPr="00B12D6E">
        <w:rPr>
          <w:rFonts w:ascii="Times New Roman" w:hAnsi="Times New Roman" w:cs="Times New Roman"/>
          <w:sz w:val="24"/>
          <w:szCs w:val="24"/>
        </w:rPr>
        <w:t xml:space="preserve"> гематологическая диагностика. Лечение. Профилактика. Роль микроэлементов в питании детей второго полугодия жизни.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Острый простой бронхит. Этиология, патогенез, клиника, лечение, профилактика, диспансерное наблюдение.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Острый обструктивный бронхит у детей. Этиология, патогенез, клиника, лечение, профилактика, диспансерное наблюдение.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Внебольничная пневмония у детей. Частота, предрасполагающие факторы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2D6E">
        <w:rPr>
          <w:rFonts w:ascii="Times New Roman" w:hAnsi="Times New Roman" w:cs="Times New Roman"/>
          <w:sz w:val="24"/>
          <w:szCs w:val="24"/>
        </w:rPr>
        <w:t xml:space="preserve"> Этиология, патогенез.Классификация, клиника. Дифференциальный диагноз с острым бронхитом, бронхиальной астмой. Принципы лечения, особенности течения пневмонии у детей раннего возраста. Принципы антибактериальной терапии, оценка эффективности. Диспансерное наблюдение. Профилактика. Клинико-лабораторно-рентгенологические критерии диагностики.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Пневмонии у детей раннего возраста. Современные принципы лечения. Группы препаратов для этиотропной и патогенетической терапии. Диспансерное наблюдение в поликлинике.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Пиелонефрит у детей. Факторы, способствующие развитию пиелонефрита. Роль нарушения пассажа мочи. Патогенез. Классификация.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Вторичный пиелонефрит. Этиология. </w:t>
      </w:r>
      <w:r>
        <w:rPr>
          <w:rFonts w:ascii="Times New Roman" w:hAnsi="Times New Roman" w:cs="Times New Roman"/>
          <w:sz w:val="24"/>
          <w:szCs w:val="24"/>
        </w:rPr>
        <w:t>Особенности патогенеза, клиники</w:t>
      </w:r>
      <w:r w:rsidRPr="00B12D6E">
        <w:rPr>
          <w:rFonts w:ascii="Times New Roman" w:hAnsi="Times New Roman" w:cs="Times New Roman"/>
          <w:sz w:val="24"/>
          <w:szCs w:val="24"/>
        </w:rPr>
        <w:t xml:space="preserve"> . Классификация. Клинические проявления. Использование лабораторных и инструментальных методов в диагностике. Показания к хирургическому лечению, диспансерное наблюдение.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Острый гломерулонефрит. Этиология. Патогенез, клиника. Диагностика. Лечение, профилактика. Диспансерное наблюдение.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Хронический гломерулонефрит. Клиника, диагностика, лечение, профилактика, диспансерное наблюдение.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bookmarkStart w:id="0" w:name="_GoBack"/>
      <w:bookmarkEnd w:id="0"/>
      <w:r w:rsidRPr="00B12D6E">
        <w:rPr>
          <w:rFonts w:ascii="Times New Roman" w:hAnsi="Times New Roman"/>
          <w:i w:val="0"/>
        </w:rPr>
        <w:t>Понятия доношенный, недоношенный и переношенный новорожд</w:t>
      </w:r>
      <w:r>
        <w:rPr>
          <w:rFonts w:ascii="Times New Roman" w:hAnsi="Times New Roman"/>
          <w:i w:val="0"/>
        </w:rPr>
        <w:t>енный.   Критерии живорождения</w:t>
      </w:r>
      <w:r w:rsidRPr="00B12D6E">
        <w:rPr>
          <w:rFonts w:ascii="Times New Roman" w:hAnsi="Times New Roman"/>
          <w:i w:val="0"/>
        </w:rPr>
        <w:t>. Оценка зрелости новорожденного ребенка. Понятие «транзиторные состояния». Первоначальная убыль веса</w:t>
      </w:r>
      <w:r w:rsidRPr="007D47F8">
        <w:rPr>
          <w:rFonts w:ascii="Times New Roman" w:hAnsi="Times New Roman"/>
          <w:i w:val="0"/>
        </w:rPr>
        <w:t>. Приказ МЗ РФ от 13.09.19 г. №755н.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Транзиторная желтуха, половой криз, мочекислый инфаркт почек. Патогенез, клиника.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Периоды внутриутробного развития. Понятия бласто-, эмбрио- и фетопатий.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Диабетическая фетопатия. Этиология, патогенез, клиника, лечение.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Гипопластический и диспластический варианты ЗВУР. Клиника, диагностика. Принципы выхаживания детей со ЗВУР.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Гемолитическая болезнь новорожденного. Определение, этиология, факторы риска. Антенатальная и постнатальная диагностика. Профилактика ГБН.</w:t>
      </w:r>
      <w:r w:rsidRPr="00B12D6E">
        <w:rPr>
          <w:rFonts w:ascii="Times New Roman" w:hAnsi="Times New Roman"/>
        </w:rPr>
        <w:t xml:space="preserve"> </w:t>
      </w:r>
      <w:r w:rsidRPr="00B12D6E">
        <w:rPr>
          <w:rFonts w:ascii="Times New Roman" w:hAnsi="Times New Roman"/>
          <w:i w:val="0"/>
        </w:rPr>
        <w:t>Классификация. Клиника отечной формы</w:t>
      </w:r>
      <w:r>
        <w:rPr>
          <w:rFonts w:ascii="Times New Roman" w:hAnsi="Times New Roman"/>
          <w:i w:val="0"/>
        </w:rPr>
        <w:t xml:space="preserve">. </w:t>
      </w:r>
      <w:r w:rsidRPr="00B12D6E">
        <w:rPr>
          <w:rFonts w:ascii="Times New Roman" w:hAnsi="Times New Roman"/>
          <w:i w:val="0"/>
        </w:rPr>
        <w:t>Клиника желтушной и анемической форм. Билирубиновая энцефалопатия, стадии развития.</w:t>
      </w:r>
      <w:r>
        <w:rPr>
          <w:rFonts w:ascii="Times New Roman" w:hAnsi="Times New Roman"/>
          <w:i w:val="0"/>
        </w:rPr>
        <w:t xml:space="preserve"> </w:t>
      </w:r>
      <w:r w:rsidRPr="00B12D6E">
        <w:rPr>
          <w:rFonts w:ascii="Times New Roman" w:hAnsi="Times New Roman"/>
          <w:i w:val="0"/>
        </w:rPr>
        <w:t>Диагностика, принципы консервативного лечения.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Факторы, способствующие возникновению инфекционно-воспалительных заболеваний кожи и подкожной клетчатки у новорожденных.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Мастит новорожденного, некротическая флегмона, псевдофурункулез Фигнера. Клиника,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Стрептодермии новорожденных. Клиника, лечение. Тактика неонатолога роддома и участкового педиатра при выявлении гнойно-воспалительных заболеваний кожи у новорожденного ребенка.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Гнойно-воспалительные заболевания пупка и пупочных сосудов (катаральный, гнойный омфалит, флебиты, артерииты). Клиника,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Пузырчатка новорожденных. Определение. Этиология. Клиническая картина. Диагностика. Дифференциальный диагноз.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Асфиксия новорожденного. Определение. Этиологические факторы анте- и интранатальной гипоксии. Патогенез. Классификация. Шкала Апгар. Первичная и реанимационная помощь новорожденным в родильном зале.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Понятие «пневмопатии», «РДСН». Этиология РДСН. Патогенез РДСН. Клиника РДСН, шкала Сильвермана. Анте- и постнатальная диагностика РДСН, рентгенологическая картина.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Пневмонии новорожденных. Этиология, пути заражения, патогенез. Классификация. Клиника. Лечение.  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Система выхаживания недоношенных детей. Организация выхаживания на 2-м этапе. Анатомо-физиологические особенности нервной, дыхательной, сердечно-сосудистой, пищеварительной систем у недоношенных детей. 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Врожденная краснуха. Клиника, профилактика. 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Неонатальный скрининг эндокринной патологии. Оценка результатов, тактика участкового педиатра. 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Неонатальный герпес. Клинические формы, диагностика, лечение.   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Врожденный токсоплазмоз. Клиника, диагностика, лечение. 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Врожденная цитомегаловирусная  инфекция. Клиника, диагностика, лечение.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Современные принципы диагностики ВУИ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Понятие об эндокринной системе. Принципы регуляции выработки гормонов. Классификация гормонов.</w:t>
      </w:r>
    </w:p>
    <w:p w:rsidR="00B029E3" w:rsidRPr="00B12D6E" w:rsidRDefault="00B029E3" w:rsidP="00407B42">
      <w:pPr>
        <w:pStyle w:val="Title"/>
        <w:numPr>
          <w:ilvl w:val="0"/>
          <w:numId w:val="1"/>
        </w:numPr>
        <w:tabs>
          <w:tab w:val="left" w:pos="360"/>
        </w:tabs>
        <w:spacing w:before="0" w:after="0"/>
        <w:rPr>
          <w:rFonts w:ascii="Times New Roman" w:hAnsi="Times New Roman"/>
          <w:i w:val="0"/>
        </w:rPr>
      </w:pPr>
      <w:r w:rsidRPr="00B12D6E">
        <w:rPr>
          <w:rFonts w:ascii="Times New Roman" w:hAnsi="Times New Roman"/>
          <w:i w:val="0"/>
        </w:rPr>
        <w:t>Этиология и патогенез сахарного диабета 1 типа. Классификация сахарного диабета. Патогенез симптомов сахарного диабета 1 типа. Патогенез сосудистых осложнений сахарного диабета.    Стандартный глюкозо-толерантный тест (показания, условия проведения, критерии оценки результатов). Группа риска по развитию сахарного диабета. Метаболические эффекты инсулина, регуляция выработки инсулина. Лечение сахарного диабета, основные принципы.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Причины развития кетоацидотической комы, стадии развития, клиническая и  лабораторная характеристика. Принципы терапии кетоацидотической комы.  Инфузионная терапия кетоацидотической комы. Коррекция метаболических нарушений при кетоацидотической коме (ранняя и поздняя гипокалиемия, ацидоз).</w:t>
      </w:r>
    </w:p>
    <w:p w:rsidR="00B029E3" w:rsidRPr="00407B42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7B42">
        <w:rPr>
          <w:rFonts w:ascii="Times New Roman" w:hAnsi="Times New Roman" w:cs="Times New Roman"/>
          <w:sz w:val="24"/>
          <w:szCs w:val="24"/>
        </w:rPr>
        <w:t>Этиология и патогенез ожирения. классификация. Клиническая картина при ожирении различной степени тяжести. Редкие формы ожирения, клиническая характеристика. Классификация ожирения. Клиническая картина ожирения 1, 2, 3 степени.Критерии постановки диагноза.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B42">
        <w:rPr>
          <w:rFonts w:ascii="Times New Roman" w:hAnsi="Times New Roman" w:cs="Times New Roman"/>
          <w:sz w:val="24"/>
          <w:szCs w:val="24"/>
        </w:rPr>
        <w:t>Лечение ожирения. Особенности терапии редких форм.</w:t>
      </w:r>
    </w:p>
    <w:p w:rsidR="00B029E3" w:rsidRPr="00407B42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7B42">
        <w:rPr>
          <w:rFonts w:ascii="Times New Roman" w:hAnsi="Times New Roman" w:cs="Times New Roman"/>
          <w:sz w:val="24"/>
          <w:szCs w:val="24"/>
        </w:rPr>
        <w:t xml:space="preserve">Классификация ДТЗ. Клиническая картина заболевания. Принципы терапии ДТЗ. Особенности консервативной терапии. Показания к оперативному лечению. 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>Врожденный гипотиреоз. Этиология, патогенез, классификация. Клиническая картина врожденного гипотиреоза. Критерии диагностики.</w:t>
      </w:r>
    </w:p>
    <w:p w:rsidR="00B029E3" w:rsidRPr="00407B42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7B42">
        <w:rPr>
          <w:rFonts w:ascii="Times New Roman" w:hAnsi="Times New Roman" w:cs="Times New Roman"/>
          <w:sz w:val="24"/>
          <w:szCs w:val="24"/>
        </w:rPr>
        <w:t>Особенности соматотропного гормона (СТГ), метаболические эффекты. Периоды роста, их характеристика. Классификация сомато-гипофизарной недостаточности. Экзогенные факторы, влияющие на рост. Эндогенные факторы, влияющие на рост. Понятие о темпах роста. Клиническая картина сомато-гипофизарной недостаточности. Методы диагностики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ВДКН, этиология и патогенез вирильной формы ВДКН. Диагностика и принципы терапии ВДКН. Профилактика.  </w:t>
      </w:r>
    </w:p>
    <w:p w:rsidR="00B029E3" w:rsidRPr="00407B42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07B42">
        <w:rPr>
          <w:rFonts w:ascii="Times New Roman" w:hAnsi="Times New Roman" w:cs="Times New Roman"/>
          <w:sz w:val="24"/>
          <w:szCs w:val="24"/>
        </w:rPr>
        <w:t>Хроническая надпочечниковая недостаточность, этиология и патогенез. классификация. Причины и клиническая картина первичной хронической надпочечниковой недостаточности. Причины возникновения и клиника вторичной надпочечниковой недостаточности. Лечение хронической надпочечниковой недостаточности.</w:t>
      </w:r>
    </w:p>
    <w:p w:rsidR="00B029E3" w:rsidRPr="00B12D6E" w:rsidRDefault="00B029E3" w:rsidP="00407B42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B12D6E">
        <w:rPr>
          <w:rFonts w:ascii="Times New Roman" w:hAnsi="Times New Roman" w:cs="Times New Roman"/>
          <w:sz w:val="24"/>
          <w:szCs w:val="24"/>
        </w:rPr>
        <w:t xml:space="preserve">Тактика участкового педиатра по выявлению эндокринной патологии. Неонатальный скрининг. </w:t>
      </w:r>
    </w:p>
    <w:p w:rsidR="00B029E3" w:rsidRPr="00B12D6E" w:rsidRDefault="00B029E3" w:rsidP="00B12D6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29E3" w:rsidRPr="00B12D6E" w:rsidRDefault="00B029E3" w:rsidP="00B12D6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029E3" w:rsidRPr="00B12D6E" w:rsidSect="00BB5C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65DB"/>
    <w:multiLevelType w:val="hybridMultilevel"/>
    <w:tmpl w:val="B6124282"/>
    <w:name w:val="Нумерованный список 952"/>
    <w:lvl w:ilvl="0" w:tplc="7B9CA4DE">
      <w:start w:val="2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AC41E"/>
    <w:multiLevelType w:val="singleLevel"/>
    <w:tmpl w:val="58CAC41E"/>
    <w:name w:val="Нумерованный список 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>
    <w:nsid w:val="58CAC425"/>
    <w:multiLevelType w:val="singleLevel"/>
    <w:tmpl w:val="58CAC425"/>
    <w:name w:val="Нумерованный список 1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58CAC426"/>
    <w:multiLevelType w:val="singleLevel"/>
    <w:tmpl w:val="58CAC426"/>
    <w:name w:val="Нумерованный список 1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">
    <w:nsid w:val="58CAC427"/>
    <w:multiLevelType w:val="singleLevel"/>
    <w:tmpl w:val="58CAC427"/>
    <w:name w:val="Нумерованный список 1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5">
    <w:nsid w:val="58CAC428"/>
    <w:multiLevelType w:val="singleLevel"/>
    <w:tmpl w:val="58CAC428"/>
    <w:name w:val="Нумерованный список 1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6">
    <w:nsid w:val="58CAC429"/>
    <w:multiLevelType w:val="singleLevel"/>
    <w:tmpl w:val="58CAC429"/>
    <w:name w:val="Нумерованный список 1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7">
    <w:nsid w:val="58CAC42B"/>
    <w:multiLevelType w:val="singleLevel"/>
    <w:tmpl w:val="58CAC42B"/>
    <w:name w:val="Нумерованный список 1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8">
    <w:nsid w:val="58CAC434"/>
    <w:multiLevelType w:val="singleLevel"/>
    <w:tmpl w:val="58CAC434"/>
    <w:name w:val="Нумерованный список 27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9">
    <w:nsid w:val="58CAC439"/>
    <w:multiLevelType w:val="singleLevel"/>
    <w:tmpl w:val="58CAC439"/>
    <w:name w:val="Нумерованный список 3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0">
    <w:nsid w:val="58CAC43A"/>
    <w:multiLevelType w:val="singleLevel"/>
    <w:tmpl w:val="58CAC43A"/>
    <w:name w:val="Нумерованный список 3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1">
    <w:nsid w:val="58CAC43B"/>
    <w:multiLevelType w:val="singleLevel"/>
    <w:tmpl w:val="58CAC43B"/>
    <w:name w:val="Нумерованный список 34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2">
    <w:nsid w:val="58CAC444"/>
    <w:multiLevelType w:val="singleLevel"/>
    <w:tmpl w:val="58CAC444"/>
    <w:name w:val="Нумерованный список 4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3">
    <w:nsid w:val="58CAC44A"/>
    <w:multiLevelType w:val="singleLevel"/>
    <w:tmpl w:val="58CAC44A"/>
    <w:name w:val="Нумерованный список 49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4">
    <w:nsid w:val="58CAC44D"/>
    <w:multiLevelType w:val="singleLevel"/>
    <w:tmpl w:val="58CAC44D"/>
    <w:name w:val="Нумерованный список 5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5">
    <w:nsid w:val="58CAC453"/>
    <w:multiLevelType w:val="singleLevel"/>
    <w:tmpl w:val="58CAC453"/>
    <w:name w:val="Нумерованный список 5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6">
    <w:nsid w:val="58CAC456"/>
    <w:multiLevelType w:val="singleLevel"/>
    <w:tmpl w:val="58CAC456"/>
    <w:name w:val="Нумерованный список 6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7">
    <w:nsid w:val="58CAC459"/>
    <w:multiLevelType w:val="singleLevel"/>
    <w:tmpl w:val="58CAC459"/>
    <w:name w:val="Нумерованный список 64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18">
    <w:nsid w:val="58CAC45A"/>
    <w:multiLevelType w:val="singleLevel"/>
    <w:tmpl w:val="58CAC45A"/>
    <w:name w:val="Нумерованный список 6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9">
    <w:nsid w:val="58CAC45B"/>
    <w:multiLevelType w:val="singleLevel"/>
    <w:tmpl w:val="58CAC45B"/>
    <w:name w:val="Нумерованный список 6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0">
    <w:nsid w:val="58CAC45C"/>
    <w:multiLevelType w:val="singleLevel"/>
    <w:tmpl w:val="58CAC45C"/>
    <w:name w:val="Нумерованный список 67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1">
    <w:nsid w:val="58CAC45D"/>
    <w:multiLevelType w:val="singleLevel"/>
    <w:tmpl w:val="C56C3EA8"/>
    <w:name w:val="Нумерованный список 68"/>
    <w:lvl w:ilvl="0">
      <w:start w:val="3"/>
      <w:numFmt w:val="decimal"/>
      <w:lvlText w:val="%1."/>
      <w:lvlJc w:val="left"/>
      <w:rPr>
        <w:rFonts w:cs="Times New Roman" w:hint="default"/>
      </w:rPr>
    </w:lvl>
  </w:abstractNum>
  <w:abstractNum w:abstractNumId="22">
    <w:nsid w:val="58CAC461"/>
    <w:multiLevelType w:val="singleLevel"/>
    <w:tmpl w:val="58CAC461"/>
    <w:name w:val="Нумерованный список 7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3">
    <w:nsid w:val="58CAC467"/>
    <w:multiLevelType w:val="singleLevel"/>
    <w:tmpl w:val="58CAC467"/>
    <w:name w:val="Нумерованный список 952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4">
    <w:nsid w:val="58CAC468"/>
    <w:multiLevelType w:val="singleLevel"/>
    <w:tmpl w:val="58CAC468"/>
    <w:name w:val="Нумерованный список 79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5">
    <w:nsid w:val="58CAC46A"/>
    <w:multiLevelType w:val="singleLevel"/>
    <w:tmpl w:val="58CAC46A"/>
    <w:name w:val="Нумерованный список 8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>
    <w:nsid w:val="58CAC46B"/>
    <w:multiLevelType w:val="singleLevel"/>
    <w:tmpl w:val="58CAC46B"/>
    <w:name w:val="Нумерованный список 8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7">
    <w:nsid w:val="58CAC46C"/>
    <w:multiLevelType w:val="singleLevel"/>
    <w:tmpl w:val="58CAC46C"/>
    <w:name w:val="Нумерованный список 83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8">
    <w:nsid w:val="58CAC46D"/>
    <w:multiLevelType w:val="multilevel"/>
    <w:tmpl w:val="58CAC46D"/>
    <w:name w:val="Нумерованный список 8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9">
    <w:nsid w:val="58CAC46E"/>
    <w:multiLevelType w:val="singleLevel"/>
    <w:tmpl w:val="58CAC46E"/>
    <w:name w:val="Нумерованный список 8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0">
    <w:nsid w:val="58CAC46F"/>
    <w:multiLevelType w:val="singleLevel"/>
    <w:tmpl w:val="58CAC46F"/>
    <w:name w:val="Нумерованный список 8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1">
    <w:nsid w:val="58CAC470"/>
    <w:multiLevelType w:val="singleLevel"/>
    <w:tmpl w:val="58CAC470"/>
    <w:name w:val="Нумерованный список 87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2">
    <w:nsid w:val="58CAC475"/>
    <w:multiLevelType w:val="singleLevel"/>
    <w:tmpl w:val="58CAC475"/>
    <w:name w:val="Нумерованный список 9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3">
    <w:nsid w:val="58CAC478"/>
    <w:multiLevelType w:val="singleLevel"/>
    <w:tmpl w:val="58CAC478"/>
    <w:name w:val="Нумерованный список 9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4">
    <w:nsid w:val="58CAC47B"/>
    <w:multiLevelType w:val="singleLevel"/>
    <w:tmpl w:val="58CAC47B"/>
    <w:name w:val="Нумерованный список 98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35">
    <w:nsid w:val="58CAC47E"/>
    <w:multiLevelType w:val="singleLevel"/>
    <w:tmpl w:val="58CAC47E"/>
    <w:name w:val="Нумерованный список 10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6">
    <w:nsid w:val="58CAC482"/>
    <w:multiLevelType w:val="singleLevel"/>
    <w:tmpl w:val="58CAC482"/>
    <w:name w:val="Нумерованный список 10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7">
    <w:nsid w:val="58CAC491"/>
    <w:multiLevelType w:val="singleLevel"/>
    <w:tmpl w:val="58CAC491"/>
    <w:name w:val="Нумерованный список 12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8">
    <w:nsid w:val="58CAC492"/>
    <w:multiLevelType w:val="singleLevel"/>
    <w:tmpl w:val="58CAC492"/>
    <w:name w:val="Нумерованный список 12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39">
    <w:nsid w:val="58CAC499"/>
    <w:multiLevelType w:val="singleLevel"/>
    <w:tmpl w:val="58CAC499"/>
    <w:name w:val="Нумерованный список 128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0">
    <w:nsid w:val="58CAC49A"/>
    <w:multiLevelType w:val="singleLevel"/>
    <w:tmpl w:val="58CAC49A"/>
    <w:name w:val="Нумерованный список 129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1">
    <w:nsid w:val="58CAC49C"/>
    <w:multiLevelType w:val="singleLevel"/>
    <w:tmpl w:val="58CAC49C"/>
    <w:name w:val="Нумерованный список 131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2">
    <w:nsid w:val="58CAC49D"/>
    <w:multiLevelType w:val="singleLevel"/>
    <w:tmpl w:val="58CAC49D"/>
    <w:name w:val="Нумерованный список 13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3">
    <w:nsid w:val="58CAC4A0"/>
    <w:multiLevelType w:val="singleLevel"/>
    <w:tmpl w:val="58CAC4A0"/>
    <w:name w:val="Нумерованный список 135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44">
    <w:nsid w:val="5E343F65"/>
    <w:multiLevelType w:val="multilevel"/>
    <w:tmpl w:val="58CAC46D"/>
    <w:name w:val="Нумерованный список 9523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5">
    <w:nsid w:val="7CF17BB7"/>
    <w:multiLevelType w:val="hybridMultilevel"/>
    <w:tmpl w:val="F708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1D"/>
    <w:rsid w:val="00296873"/>
    <w:rsid w:val="003337EF"/>
    <w:rsid w:val="00407B42"/>
    <w:rsid w:val="00422B4C"/>
    <w:rsid w:val="00480B80"/>
    <w:rsid w:val="007D47F8"/>
    <w:rsid w:val="00830F88"/>
    <w:rsid w:val="008F66F2"/>
    <w:rsid w:val="009736E5"/>
    <w:rsid w:val="00A52FAE"/>
    <w:rsid w:val="00B029E3"/>
    <w:rsid w:val="00B12D6E"/>
    <w:rsid w:val="00B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B5C1D"/>
    <w:pPr>
      <w:widowControl w:val="0"/>
      <w:spacing w:before="120" w:after="120" w:line="240" w:lineRule="auto"/>
    </w:pPr>
    <w:rPr>
      <w:rFonts w:ascii="Courier New" w:eastAsia="Times New Roman" w:hAnsi="Courier New"/>
      <w:i/>
      <w:color w:val="000000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B5C1D"/>
    <w:rPr>
      <w:rFonts w:ascii="Courier New" w:hAnsi="Courier New" w:cs="Times New Roman"/>
      <w:i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B5C1D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1561</Words>
  <Characters>8901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подготовки к экзамену</dc:title>
  <dc:subject/>
  <dc:creator>ИльичЪ</dc:creator>
  <cp:keywords/>
  <dc:description/>
  <cp:lastModifiedBy>лариса</cp:lastModifiedBy>
  <cp:revision>2</cp:revision>
  <dcterms:created xsi:type="dcterms:W3CDTF">2023-05-03T01:15:00Z</dcterms:created>
  <dcterms:modified xsi:type="dcterms:W3CDTF">2023-05-03T01:15:00Z</dcterms:modified>
</cp:coreProperties>
</file>